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646FFB">
      <w:pPr>
        <w:jc w:val="center"/>
        <w:rPr>
          <w:rFonts w:hint="eastAsia"/>
          <w:sz w:val="44"/>
          <w:szCs w:val="44"/>
          <w:lang w:val="en-US" w:eastAsia="zh-CN"/>
        </w:rPr>
      </w:pPr>
      <w:r>
        <w:rPr>
          <w:rFonts w:hint="eastAsia"/>
          <w:sz w:val="44"/>
          <w:szCs w:val="44"/>
          <w:lang w:val="en-US" w:eastAsia="zh-CN"/>
        </w:rPr>
        <w:t>泽州县应急管理局涉企行政检查公示信息</w:t>
      </w:r>
    </w:p>
    <w:p w14:paraId="2BA80F2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sz w:val="32"/>
          <w:szCs w:val="32"/>
          <w:lang w:val="en-US" w:eastAsia="zh-CN"/>
        </w:rPr>
      </w:pPr>
      <w:r>
        <w:rPr>
          <w:rFonts w:hint="eastAsia"/>
          <w:sz w:val="32"/>
          <w:szCs w:val="32"/>
          <w:lang w:val="en-US" w:eastAsia="zh-CN"/>
        </w:rPr>
        <w:t>（盖章）</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1241"/>
        <w:gridCol w:w="1350"/>
        <w:gridCol w:w="7732"/>
        <w:gridCol w:w="1581"/>
        <w:gridCol w:w="1544"/>
      </w:tblGrid>
      <w:tr w14:paraId="565C9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14:paraId="62F13D7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序号</w:t>
            </w:r>
          </w:p>
        </w:tc>
        <w:tc>
          <w:tcPr>
            <w:tcW w:w="1241" w:type="dxa"/>
            <w:vAlign w:val="center"/>
          </w:tcPr>
          <w:p w14:paraId="5C309E8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检查主体</w:t>
            </w:r>
          </w:p>
        </w:tc>
        <w:tc>
          <w:tcPr>
            <w:tcW w:w="1350" w:type="dxa"/>
            <w:vAlign w:val="center"/>
          </w:tcPr>
          <w:p w14:paraId="5F4D3B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检查事项</w:t>
            </w:r>
          </w:p>
        </w:tc>
        <w:tc>
          <w:tcPr>
            <w:tcW w:w="7732" w:type="dxa"/>
            <w:vAlign w:val="center"/>
          </w:tcPr>
          <w:p w14:paraId="35086D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检查依据</w:t>
            </w:r>
          </w:p>
        </w:tc>
        <w:tc>
          <w:tcPr>
            <w:tcW w:w="1581" w:type="dxa"/>
            <w:vAlign w:val="center"/>
          </w:tcPr>
          <w:p w14:paraId="668275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检查频次</w:t>
            </w:r>
          </w:p>
        </w:tc>
        <w:tc>
          <w:tcPr>
            <w:tcW w:w="1544" w:type="dxa"/>
            <w:vAlign w:val="center"/>
          </w:tcPr>
          <w:p w14:paraId="7C80BAD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检查标准</w:t>
            </w:r>
          </w:p>
        </w:tc>
      </w:tr>
      <w:tr w14:paraId="40D2A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14:paraId="15962629">
            <w:pPr>
              <w:keepNext w:val="0"/>
              <w:keepLines w:val="0"/>
              <w:pageBreakBefore w:val="0"/>
              <w:kinsoku/>
              <w:wordWrap/>
              <w:overflowPunct/>
              <w:topLinePunct w:val="0"/>
              <w:autoSpaceDE/>
              <w:autoSpaceDN/>
              <w:bidi w:val="0"/>
              <w:adjustRightInd/>
              <w:snapToGrid/>
              <w:spacing w:line="280" w:lineRule="exact"/>
              <w:jc w:val="center"/>
              <w:rPr>
                <w:rFonts w:hint="default"/>
                <w:sz w:val="21"/>
                <w:szCs w:val="21"/>
                <w:vertAlign w:val="baseline"/>
                <w:lang w:val="en-US" w:eastAsia="zh-CN"/>
              </w:rPr>
            </w:pPr>
            <w:r>
              <w:rPr>
                <w:rFonts w:hint="eastAsia"/>
                <w:sz w:val="21"/>
                <w:szCs w:val="21"/>
                <w:vertAlign w:val="baseline"/>
                <w:lang w:val="en-US" w:eastAsia="zh-CN"/>
              </w:rPr>
              <w:t>1</w:t>
            </w:r>
          </w:p>
        </w:tc>
        <w:tc>
          <w:tcPr>
            <w:tcW w:w="1241" w:type="dxa"/>
            <w:vAlign w:val="center"/>
          </w:tcPr>
          <w:p w14:paraId="1139AB10">
            <w:pPr>
              <w:keepNext w:val="0"/>
              <w:keepLines w:val="0"/>
              <w:pageBreakBefore w:val="0"/>
              <w:kinsoku/>
              <w:wordWrap/>
              <w:overflowPunct/>
              <w:topLinePunct w:val="0"/>
              <w:autoSpaceDE/>
              <w:autoSpaceDN/>
              <w:bidi w:val="0"/>
              <w:adjustRightInd/>
              <w:snapToGrid/>
              <w:spacing w:line="280" w:lineRule="exact"/>
              <w:jc w:val="center"/>
              <w:rPr>
                <w:rFonts w:hint="default"/>
                <w:sz w:val="21"/>
                <w:szCs w:val="21"/>
                <w:vertAlign w:val="baseline"/>
                <w:lang w:val="en-US" w:eastAsia="zh-CN"/>
              </w:rPr>
            </w:pPr>
            <w:r>
              <w:rPr>
                <w:rFonts w:hint="eastAsia"/>
                <w:sz w:val="21"/>
                <w:szCs w:val="21"/>
                <w:vertAlign w:val="baseline"/>
                <w:lang w:val="en-US" w:eastAsia="zh-CN"/>
              </w:rPr>
              <w:t>泽州县应急管理局</w:t>
            </w:r>
          </w:p>
        </w:tc>
        <w:tc>
          <w:tcPr>
            <w:tcW w:w="1350" w:type="dxa"/>
            <w:vAlign w:val="center"/>
          </w:tcPr>
          <w:p w14:paraId="1A936F6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sz w:val="21"/>
                <w:szCs w:val="21"/>
                <w:vertAlign w:val="baseline"/>
                <w:lang w:val="en-US" w:eastAsia="zh-CN"/>
              </w:rPr>
            </w:pPr>
            <w:r>
              <w:rPr>
                <w:rFonts w:hint="eastAsia" w:ascii="宋体" w:hAnsi="宋体" w:eastAsia="宋体" w:cs="宋体"/>
                <w:i w:val="0"/>
                <w:color w:val="000000"/>
                <w:kern w:val="0"/>
                <w:sz w:val="21"/>
                <w:szCs w:val="21"/>
                <w:u w:val="none"/>
                <w:lang w:val="en-US" w:eastAsia="zh-CN" w:bidi="ar"/>
              </w:rPr>
              <w:t>依法对生产经营单位执行有关安全生产的法律、法规和国家标准或者行业标准的情况进行监督检查</w:t>
            </w:r>
          </w:p>
        </w:tc>
        <w:tc>
          <w:tcPr>
            <w:tcW w:w="7732" w:type="dxa"/>
            <w:vAlign w:val="center"/>
          </w:tcPr>
          <w:p w14:paraId="3CDF716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sz w:val="21"/>
                <w:szCs w:val="21"/>
                <w:vertAlign w:val="baseline"/>
                <w:lang w:val="en-US" w:eastAsia="zh-CN"/>
              </w:rPr>
            </w:pPr>
            <w:r>
              <w:rPr>
                <w:rFonts w:hint="eastAsia" w:ascii="宋体" w:hAnsi="宋体" w:eastAsia="宋体" w:cs="宋体"/>
                <w:i w:val="0"/>
                <w:color w:val="000000"/>
                <w:kern w:val="0"/>
                <w:sz w:val="21"/>
                <w:szCs w:val="21"/>
                <w:u w:val="none"/>
                <w:lang w:val="en-US" w:eastAsia="zh-CN" w:bidi="ar"/>
              </w:rPr>
              <w:t>《中华人民</w:t>
            </w:r>
            <w:bookmarkStart w:id="0" w:name="_GoBack"/>
            <w:bookmarkEnd w:id="0"/>
            <w:r>
              <w:rPr>
                <w:rFonts w:hint="eastAsia" w:ascii="宋体" w:hAnsi="宋体" w:eastAsia="宋体" w:cs="宋体"/>
                <w:i w:val="0"/>
                <w:color w:val="000000"/>
                <w:kern w:val="0"/>
                <w:sz w:val="21"/>
                <w:szCs w:val="21"/>
                <w:u w:val="none"/>
                <w:lang w:val="en-US" w:eastAsia="zh-CN" w:bidi="ar"/>
              </w:rPr>
              <w:t>共和国安全生产法》</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第六十五条　应急管理部门和其他负有安全生产监督管理职责的部门依法开展安全生产行政执法工作，对生产经营单位执行有关安全生产的法律、法规和国家标准或者行业标准的情况进行监督检查，行使以下职权:</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（一）进入生产经营单位进行检查，调阅有关资料，向有关单位和人员了解情况；</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（二）对检查中发现的安全生产违法行为，当场予以纠正或者要求限期改正；对依法应当给予行政处罚的行为，依照本法和其他有关法律、行政法规的规定作出行政处罚决定；</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监督检查不得影响被检查单位的正常生产经营活动。</w:t>
            </w:r>
          </w:p>
        </w:tc>
        <w:tc>
          <w:tcPr>
            <w:tcW w:w="1581" w:type="dxa"/>
            <w:vAlign w:val="center"/>
          </w:tcPr>
          <w:p w14:paraId="4B31F979">
            <w:pPr>
              <w:keepNext w:val="0"/>
              <w:keepLines w:val="0"/>
              <w:pageBreakBefore w:val="0"/>
              <w:kinsoku/>
              <w:wordWrap/>
              <w:overflowPunct/>
              <w:topLinePunct w:val="0"/>
              <w:autoSpaceDE/>
              <w:autoSpaceDN/>
              <w:bidi w:val="0"/>
              <w:adjustRightInd/>
              <w:snapToGrid/>
              <w:spacing w:line="280" w:lineRule="exact"/>
              <w:jc w:val="center"/>
              <w:rPr>
                <w:rFonts w:hint="default"/>
                <w:sz w:val="21"/>
                <w:szCs w:val="21"/>
                <w:vertAlign w:val="baseline"/>
                <w:lang w:val="en-US" w:eastAsia="zh-CN"/>
              </w:rPr>
            </w:pPr>
            <w:r>
              <w:rPr>
                <w:rFonts w:hint="eastAsia"/>
                <w:sz w:val="21"/>
                <w:szCs w:val="21"/>
                <w:vertAlign w:val="baseline"/>
                <w:lang w:val="en-US" w:eastAsia="zh-CN"/>
              </w:rPr>
              <w:t>按照安全生产监督检查计划、专项整治和专项检查规定频次开展</w:t>
            </w:r>
          </w:p>
        </w:tc>
        <w:tc>
          <w:tcPr>
            <w:tcW w:w="1544" w:type="dxa"/>
            <w:vAlign w:val="center"/>
          </w:tcPr>
          <w:p w14:paraId="1917D1CE">
            <w:pPr>
              <w:keepNext w:val="0"/>
              <w:keepLines w:val="0"/>
              <w:pageBreakBefore w:val="0"/>
              <w:widowControl/>
              <w:suppressLineNumbers w:val="0"/>
              <w:kinsoku/>
              <w:wordWrap/>
              <w:overflowPunct/>
              <w:topLinePunct w:val="0"/>
              <w:autoSpaceDE/>
              <w:autoSpaceDN/>
              <w:bidi w:val="0"/>
              <w:adjustRightInd/>
              <w:snapToGrid/>
              <w:spacing w:line="280" w:lineRule="exact"/>
              <w:jc w:val="left"/>
              <w:rPr>
                <w:color w:val="auto"/>
                <w:sz w:val="21"/>
                <w:szCs w:val="21"/>
              </w:rPr>
            </w:pPr>
            <w:r>
              <w:rPr>
                <w:rFonts w:hint="eastAsia" w:ascii="宋体" w:hAnsi="宋体" w:eastAsia="宋体" w:cs="宋体"/>
                <w:i w:val="0"/>
                <w:color w:val="auto"/>
                <w:kern w:val="0"/>
                <w:sz w:val="21"/>
                <w:szCs w:val="21"/>
                <w:u w:val="none"/>
                <w:lang w:val="en-US" w:eastAsia="zh-CN" w:bidi="ar"/>
              </w:rPr>
              <w:t>按照</w:t>
            </w:r>
            <w:r>
              <w:rPr>
                <w:rFonts w:hint="eastAsia" w:ascii="宋体" w:hAnsi="宋体" w:eastAsia="宋体" w:cs="宋体"/>
                <w:i w:val="0"/>
                <w:caps w:val="0"/>
                <w:color w:val="auto"/>
                <w:spacing w:val="0"/>
                <w:kern w:val="0"/>
                <w:sz w:val="21"/>
                <w:szCs w:val="21"/>
                <w:shd w:val="clear" w:fill="FFFFFF"/>
                <w:lang w:val="en-US" w:eastAsia="zh-CN" w:bidi="ar"/>
              </w:rPr>
              <w:t>矿山、“八大工贸”（冶金、有色、建材、机械、轻工、纺织、烟草、商贸</w:t>
            </w:r>
          </w:p>
          <w:p w14:paraId="56232C5F">
            <w:pPr>
              <w:keepNext w:val="0"/>
              <w:keepLines w:val="0"/>
              <w:pageBreakBefore w:val="0"/>
              <w:widowControl/>
              <w:suppressLineNumbers w:val="0"/>
              <w:kinsoku/>
              <w:wordWrap/>
              <w:overflowPunct/>
              <w:topLinePunct w:val="0"/>
              <w:autoSpaceDE/>
              <w:autoSpaceDN/>
              <w:bidi w:val="0"/>
              <w:adjustRightInd/>
              <w:snapToGrid/>
              <w:spacing w:line="280" w:lineRule="exact"/>
              <w:jc w:val="left"/>
              <w:rPr>
                <w:rFonts w:hint="default"/>
                <w:sz w:val="21"/>
                <w:szCs w:val="21"/>
                <w:vertAlign w:val="baseline"/>
                <w:lang w:val="en-US" w:eastAsia="zh-CN"/>
              </w:rPr>
            </w:pPr>
            <w:r>
              <w:rPr>
                <w:rFonts w:hint="eastAsia" w:ascii="宋体" w:hAnsi="宋体" w:eastAsia="宋体" w:cs="宋体"/>
                <w:i w:val="0"/>
                <w:caps w:val="0"/>
                <w:color w:val="auto"/>
                <w:spacing w:val="0"/>
                <w:kern w:val="0"/>
                <w:sz w:val="21"/>
                <w:szCs w:val="21"/>
                <w:shd w:val="clear" w:fill="FFFFFF"/>
                <w:lang w:val="en-US" w:eastAsia="zh-CN" w:bidi="ar"/>
              </w:rPr>
              <w:t>）、危险化学品、烟花爆竹等领域</w:t>
            </w:r>
            <w:r>
              <w:rPr>
                <w:rFonts w:hint="eastAsia" w:ascii="宋体" w:hAnsi="宋体" w:eastAsia="宋体" w:cs="宋体"/>
                <w:i w:val="0"/>
                <w:color w:val="auto"/>
                <w:kern w:val="0"/>
                <w:sz w:val="21"/>
                <w:szCs w:val="21"/>
                <w:u w:val="none"/>
                <w:lang w:val="en-US" w:eastAsia="zh-CN" w:bidi="ar"/>
              </w:rPr>
              <w:t>有关安全生产的法律、法规和国家标准或者行业标准进</w:t>
            </w:r>
            <w:r>
              <w:rPr>
                <w:rFonts w:hint="eastAsia" w:ascii="宋体" w:hAnsi="宋体" w:eastAsia="宋体" w:cs="宋体"/>
                <w:i w:val="0"/>
                <w:color w:val="000000"/>
                <w:kern w:val="0"/>
                <w:sz w:val="21"/>
                <w:szCs w:val="21"/>
                <w:u w:val="none"/>
                <w:lang w:val="en-US" w:eastAsia="zh-CN" w:bidi="ar"/>
              </w:rPr>
              <w:t>行检查</w:t>
            </w:r>
          </w:p>
        </w:tc>
      </w:tr>
      <w:tr w14:paraId="3E9A6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center"/>
          </w:tcPr>
          <w:p w14:paraId="57FA15D5">
            <w:pPr>
              <w:keepNext w:val="0"/>
              <w:keepLines w:val="0"/>
              <w:pageBreakBefore w:val="0"/>
              <w:kinsoku/>
              <w:wordWrap/>
              <w:overflowPunct/>
              <w:topLinePunct w:val="0"/>
              <w:autoSpaceDE/>
              <w:autoSpaceDN/>
              <w:bidi w:val="0"/>
              <w:adjustRightInd/>
              <w:snapToGrid/>
              <w:spacing w:line="280" w:lineRule="exact"/>
              <w:jc w:val="center"/>
              <w:rPr>
                <w:rFonts w:hint="default"/>
                <w:sz w:val="21"/>
                <w:szCs w:val="21"/>
                <w:vertAlign w:val="baseline"/>
                <w:lang w:val="en-US" w:eastAsia="zh-CN"/>
              </w:rPr>
            </w:pPr>
            <w:r>
              <w:rPr>
                <w:rFonts w:hint="eastAsia"/>
                <w:sz w:val="21"/>
                <w:szCs w:val="21"/>
                <w:vertAlign w:val="baseline"/>
                <w:lang w:val="en-US" w:eastAsia="zh-CN"/>
              </w:rPr>
              <w:t>2</w:t>
            </w:r>
          </w:p>
        </w:tc>
        <w:tc>
          <w:tcPr>
            <w:tcW w:w="1241" w:type="dxa"/>
            <w:vAlign w:val="center"/>
          </w:tcPr>
          <w:p w14:paraId="4CECE724">
            <w:pPr>
              <w:keepNext w:val="0"/>
              <w:keepLines w:val="0"/>
              <w:pageBreakBefore w:val="0"/>
              <w:kinsoku/>
              <w:wordWrap/>
              <w:overflowPunct/>
              <w:topLinePunct w:val="0"/>
              <w:autoSpaceDE/>
              <w:autoSpaceDN/>
              <w:bidi w:val="0"/>
              <w:adjustRightInd/>
              <w:snapToGrid/>
              <w:spacing w:line="280" w:lineRule="exact"/>
              <w:jc w:val="center"/>
              <w:rPr>
                <w:rFonts w:hint="default"/>
                <w:sz w:val="21"/>
                <w:szCs w:val="21"/>
                <w:vertAlign w:val="baseline"/>
                <w:lang w:val="en-US" w:eastAsia="zh-CN"/>
              </w:rPr>
            </w:pPr>
            <w:r>
              <w:rPr>
                <w:rFonts w:hint="eastAsia"/>
                <w:sz w:val="21"/>
                <w:szCs w:val="21"/>
                <w:vertAlign w:val="baseline"/>
                <w:lang w:val="en-US" w:eastAsia="zh-CN"/>
              </w:rPr>
              <w:t>泽州县应急管理局</w:t>
            </w:r>
          </w:p>
        </w:tc>
        <w:tc>
          <w:tcPr>
            <w:tcW w:w="1350" w:type="dxa"/>
            <w:vAlign w:val="center"/>
          </w:tcPr>
          <w:p w14:paraId="253080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sz w:val="21"/>
                <w:szCs w:val="21"/>
                <w:vertAlign w:val="baseline"/>
                <w:lang w:val="en-US" w:eastAsia="zh-CN"/>
              </w:rPr>
            </w:pPr>
            <w:r>
              <w:rPr>
                <w:rFonts w:hint="eastAsia" w:ascii="宋体" w:hAnsi="宋体" w:eastAsia="宋体" w:cs="宋体"/>
                <w:i w:val="0"/>
                <w:color w:val="000000"/>
                <w:kern w:val="0"/>
                <w:sz w:val="21"/>
                <w:szCs w:val="21"/>
                <w:u w:val="none"/>
                <w:lang w:val="en-US" w:eastAsia="zh-CN" w:bidi="ar"/>
              </w:rPr>
              <w:t>对煤矿企业执行煤炭法律、法规的情况进行监督检查</w:t>
            </w:r>
          </w:p>
        </w:tc>
        <w:tc>
          <w:tcPr>
            <w:tcW w:w="7732" w:type="dxa"/>
            <w:vAlign w:val="center"/>
          </w:tcPr>
          <w:p w14:paraId="228DC89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sz w:val="21"/>
                <w:szCs w:val="21"/>
                <w:vertAlign w:val="baseline"/>
                <w:lang w:val="en-US" w:eastAsia="zh-CN"/>
              </w:rPr>
            </w:pPr>
            <w:r>
              <w:rPr>
                <w:rFonts w:hint="eastAsia" w:ascii="宋体" w:hAnsi="宋体" w:eastAsia="宋体" w:cs="宋体"/>
                <w:i w:val="0"/>
                <w:color w:val="000000"/>
                <w:kern w:val="0"/>
                <w:sz w:val="21"/>
                <w:szCs w:val="21"/>
                <w:u w:val="none"/>
                <w:lang w:val="en-US" w:eastAsia="zh-CN" w:bidi="ar"/>
              </w:rPr>
              <w:t>《中华人民共和国煤炭法》（中华人民共和国主席令第57号）</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第五十三条 煤炭管理部门和有关部门依法对煤矿企业和煤炭经营企业执行煤炭法律、法规的情况进行监督检查。</w:t>
            </w:r>
          </w:p>
        </w:tc>
        <w:tc>
          <w:tcPr>
            <w:tcW w:w="1581" w:type="dxa"/>
            <w:vAlign w:val="center"/>
          </w:tcPr>
          <w:p w14:paraId="35DD9121">
            <w:pPr>
              <w:keepNext w:val="0"/>
              <w:keepLines w:val="0"/>
              <w:pageBreakBefore w:val="0"/>
              <w:kinsoku/>
              <w:wordWrap/>
              <w:overflowPunct/>
              <w:topLinePunct w:val="0"/>
              <w:autoSpaceDE/>
              <w:autoSpaceDN/>
              <w:bidi w:val="0"/>
              <w:adjustRightInd/>
              <w:snapToGrid/>
              <w:spacing w:line="280" w:lineRule="exact"/>
              <w:jc w:val="center"/>
              <w:rPr>
                <w:rFonts w:hint="default"/>
                <w:sz w:val="21"/>
                <w:szCs w:val="21"/>
                <w:vertAlign w:val="baseline"/>
                <w:lang w:val="en-US" w:eastAsia="zh-CN"/>
              </w:rPr>
            </w:pPr>
            <w:r>
              <w:rPr>
                <w:rFonts w:hint="eastAsia"/>
                <w:sz w:val="21"/>
                <w:szCs w:val="21"/>
                <w:vertAlign w:val="baseline"/>
                <w:lang w:val="en-US" w:eastAsia="zh-CN"/>
              </w:rPr>
              <w:t>按照安全生产监督检查计划、专项整治和专项检查规定频次开展</w:t>
            </w:r>
          </w:p>
        </w:tc>
        <w:tc>
          <w:tcPr>
            <w:tcW w:w="1544" w:type="dxa"/>
            <w:vAlign w:val="center"/>
          </w:tcPr>
          <w:p w14:paraId="4A1375E6">
            <w:pPr>
              <w:keepNext w:val="0"/>
              <w:keepLines w:val="0"/>
              <w:pageBreakBefore w:val="0"/>
              <w:kinsoku/>
              <w:wordWrap/>
              <w:overflowPunct/>
              <w:topLinePunct w:val="0"/>
              <w:autoSpaceDE/>
              <w:autoSpaceDN/>
              <w:bidi w:val="0"/>
              <w:adjustRightInd/>
              <w:snapToGrid/>
              <w:spacing w:line="280" w:lineRule="exact"/>
              <w:jc w:val="center"/>
              <w:rPr>
                <w:rFonts w:hint="default"/>
                <w:sz w:val="21"/>
                <w:szCs w:val="21"/>
                <w:vertAlign w:val="baseline"/>
                <w:lang w:val="en-US" w:eastAsia="zh-CN"/>
              </w:rPr>
            </w:pPr>
            <w:r>
              <w:rPr>
                <w:rFonts w:hint="eastAsia" w:ascii="宋体" w:hAnsi="宋体" w:eastAsia="宋体" w:cs="宋体"/>
                <w:i w:val="0"/>
                <w:color w:val="000000"/>
                <w:kern w:val="0"/>
                <w:sz w:val="21"/>
                <w:szCs w:val="21"/>
                <w:u w:val="none"/>
                <w:lang w:val="en-US" w:eastAsia="zh-CN" w:bidi="ar"/>
              </w:rPr>
              <w:t>按照</w:t>
            </w:r>
            <w:r>
              <w:rPr>
                <w:rFonts w:hint="eastAsia" w:ascii="宋体" w:hAnsi="宋体" w:eastAsia="宋体" w:cs="宋体"/>
                <w:i w:val="0"/>
                <w:caps w:val="0"/>
                <w:color w:val="333333"/>
                <w:spacing w:val="0"/>
                <w:kern w:val="0"/>
                <w:sz w:val="21"/>
                <w:szCs w:val="21"/>
                <w:shd w:val="clear" w:fill="FFFFFF"/>
                <w:lang w:val="en-US" w:eastAsia="zh-CN" w:bidi="ar"/>
              </w:rPr>
              <w:t>矿山领域</w:t>
            </w:r>
            <w:r>
              <w:rPr>
                <w:rFonts w:hint="eastAsia" w:ascii="宋体" w:hAnsi="宋体" w:eastAsia="宋体" w:cs="宋体"/>
                <w:i w:val="0"/>
                <w:color w:val="000000"/>
                <w:kern w:val="0"/>
                <w:sz w:val="21"/>
                <w:szCs w:val="21"/>
                <w:u w:val="none"/>
                <w:lang w:val="en-US" w:eastAsia="zh-CN" w:bidi="ar"/>
              </w:rPr>
              <w:t>有关安全生产的法律、法规和国家标准或者行业标准进行检查</w:t>
            </w:r>
          </w:p>
        </w:tc>
      </w:tr>
    </w:tbl>
    <w:p w14:paraId="60EACF64">
      <w:pPr>
        <w:rPr>
          <w:rFonts w:hint="default"/>
          <w:sz w:val="32"/>
          <w:szCs w:val="32"/>
          <w:lang w:val="en-US" w:eastAsia="zh-CN"/>
        </w:rPr>
      </w:pPr>
    </w:p>
    <w:sectPr>
      <w:pgSz w:w="16838" w:h="11906" w:orient="landscape"/>
      <w:pgMar w:top="1701" w:right="1440" w:bottom="1701"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841236"/>
    <w:rsid w:val="1C104568"/>
    <w:rsid w:val="2B841236"/>
    <w:rsid w:val="30647164"/>
    <w:rsid w:val="31456DE8"/>
    <w:rsid w:val="3BF6C656"/>
    <w:rsid w:val="3DB75F1E"/>
    <w:rsid w:val="48693111"/>
    <w:rsid w:val="5CEF6A77"/>
    <w:rsid w:val="5EED1F6F"/>
    <w:rsid w:val="633D546F"/>
    <w:rsid w:val="6C880B0B"/>
    <w:rsid w:val="74C834A3"/>
    <w:rsid w:val="77311A68"/>
    <w:rsid w:val="7A6235D2"/>
    <w:rsid w:val="7FFEB7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138</Words>
  <Characters>140</Characters>
  <Lines>0</Lines>
  <Paragraphs>0</Paragraphs>
  <TotalTime>2</TotalTime>
  <ScaleCrop>false</ScaleCrop>
  <LinksUpToDate>false</LinksUpToDate>
  <CharactersWithSpaces>140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2025-02-25T15:38:00Z</dcterms:created>
  <dc:creator>Administrator</dc:creator>
  <cp:lastModifiedBy>HUAWEI</cp:lastModifiedBy>
  <cp:lastPrinted>2025-03-07T22:50:00Z</cp:lastPrinted>
  <dcterms:modified xsi:type="dcterms:W3CDTF">2025-03-25T09:37:30Z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BD9AD3C204C14330A5AA3A5C144A1B44_13</vt:lpwstr>
  </property>
  <property fmtid="{D5CDD505-2E9C-101B-9397-08002B2CF9AE}" pid="4" name="KSOTemplateDocerSaveRecord">
    <vt:lpwstr>eyJoZGlkIjoiOTVlNTE4Yzk3NjdmZjEzMzkyZjEyNjY5ZTZhMjhkZjcifQ==</vt:lpwstr>
  </property>
</Properties>
</file>